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96320" w14:textId="1525E59B" w:rsidR="00D137D8" w:rsidRPr="00A52BF4" w:rsidRDefault="00AA25B2" w:rsidP="00A52BF4">
      <w:pPr>
        <w:spacing w:line="240" w:lineRule="auto"/>
        <w:jc w:val="both"/>
        <w:rPr>
          <w:rFonts w:ascii="Tahoma" w:hAnsi="Tahoma" w:cs="Tahoma"/>
          <w:b/>
        </w:rPr>
      </w:pPr>
      <w:r>
        <w:rPr>
          <w:noProof/>
        </w:rPr>
        <w:drawing>
          <wp:inline distT="0" distB="0" distL="0" distR="0" wp14:anchorId="0D80E691" wp14:editId="2519F08A">
            <wp:extent cx="422201" cy="589340"/>
            <wp:effectExtent l="19050" t="0" r="0" b="0"/>
            <wp:docPr id="1" name="Picture 1" descr="Durer selfpori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rer selfporitrait.jpg"/>
                    <pic:cNvPicPr>
                      <a:picLocks noChangeAspect="1" noChangeArrowheads="1"/>
                    </pic:cNvPicPr>
                  </pic:nvPicPr>
                  <pic:blipFill>
                    <a:blip r:embed="rId4" cstate="print"/>
                    <a:srcRect/>
                    <a:stretch>
                      <a:fillRect/>
                    </a:stretch>
                  </pic:blipFill>
                  <pic:spPr bwMode="auto">
                    <a:xfrm>
                      <a:off x="0" y="0"/>
                      <a:ext cx="421548" cy="588429"/>
                    </a:xfrm>
                    <a:prstGeom prst="rect">
                      <a:avLst/>
                    </a:prstGeom>
                    <a:noFill/>
                    <a:ln w="9525">
                      <a:noFill/>
                      <a:miter lim="800000"/>
                      <a:headEnd/>
                      <a:tailEnd/>
                    </a:ln>
                  </pic:spPr>
                </pic:pic>
              </a:graphicData>
            </a:graphic>
          </wp:inline>
        </w:drawing>
      </w:r>
      <w:r>
        <w:rPr>
          <w:rFonts w:ascii="Tahoma" w:hAnsi="Tahoma" w:cs="Tahoma"/>
          <w:b/>
        </w:rPr>
        <w:t xml:space="preserve"> </w:t>
      </w:r>
      <w:r w:rsidR="00577D58" w:rsidRPr="00A52BF4">
        <w:rPr>
          <w:rFonts w:ascii="Tahoma" w:hAnsi="Tahoma" w:cs="Tahoma"/>
          <w:b/>
        </w:rPr>
        <w:t>A</w:t>
      </w:r>
      <w:r w:rsidR="00484D1C">
        <w:rPr>
          <w:rFonts w:ascii="Tahoma" w:hAnsi="Tahoma" w:cs="Tahoma"/>
          <w:b/>
        </w:rPr>
        <w:t>lbrecht</w:t>
      </w:r>
      <w:r w:rsidR="00577D58" w:rsidRPr="00A52BF4">
        <w:rPr>
          <w:rFonts w:ascii="Tahoma" w:hAnsi="Tahoma" w:cs="Tahoma"/>
          <w:b/>
        </w:rPr>
        <w:t xml:space="preserve"> </w:t>
      </w:r>
      <w:r w:rsidR="00484D1C" w:rsidRPr="00484D1C">
        <w:rPr>
          <w:rFonts w:ascii="Tahoma" w:hAnsi="Tahoma" w:cs="Tahoma"/>
          <w:b/>
          <w:bCs/>
        </w:rPr>
        <w:t>Dürer</w:t>
      </w:r>
      <w:r w:rsidR="00577D58" w:rsidRPr="00A52BF4">
        <w:rPr>
          <w:rFonts w:ascii="Tahoma" w:hAnsi="Tahoma" w:cs="Tahoma"/>
          <w:b/>
        </w:rPr>
        <w:t xml:space="preserve"> </w:t>
      </w:r>
      <w:r w:rsidR="008F4E24" w:rsidRPr="00A52BF4">
        <w:rPr>
          <w:rFonts w:ascii="Tahoma" w:hAnsi="Tahoma" w:cs="Tahoma"/>
          <w:b/>
        </w:rPr>
        <w:t>1471</w:t>
      </w:r>
      <w:r w:rsidR="00607282">
        <w:rPr>
          <w:rFonts w:ascii="Tahoma" w:hAnsi="Tahoma" w:cs="Tahoma"/>
          <w:b/>
        </w:rPr>
        <w:t xml:space="preserve"> – 1528 </w:t>
      </w:r>
    </w:p>
    <w:p w14:paraId="5F7CB3D7" w14:textId="77777777" w:rsidR="008F4E24" w:rsidRPr="00A52BF4" w:rsidRDefault="008F4E24" w:rsidP="00A52BF4">
      <w:pPr>
        <w:spacing w:line="240" w:lineRule="auto"/>
        <w:jc w:val="both"/>
        <w:rPr>
          <w:rFonts w:ascii="Tahoma" w:hAnsi="Tahoma" w:cs="Tahoma"/>
        </w:rPr>
      </w:pPr>
    </w:p>
    <w:p w14:paraId="4E0C2A8D" w14:textId="1FBAF04E" w:rsidR="00235C70" w:rsidRPr="00D81F4C" w:rsidRDefault="00235C70" w:rsidP="00A52BF4">
      <w:pPr>
        <w:spacing w:line="240" w:lineRule="auto"/>
        <w:ind w:firstLine="720"/>
        <w:jc w:val="both"/>
        <w:rPr>
          <w:rFonts w:ascii="Tahoma" w:hAnsi="Tahoma" w:cs="Tahoma"/>
          <w:sz w:val="26"/>
          <w:szCs w:val="26"/>
        </w:rPr>
      </w:pPr>
      <w:r w:rsidRPr="00D81F4C">
        <w:rPr>
          <w:rFonts w:ascii="Tahoma" w:hAnsi="Tahoma" w:cs="Tahoma"/>
          <w:sz w:val="26"/>
          <w:szCs w:val="26"/>
        </w:rPr>
        <w:t>The sixteenth century Reformation in Europe centered primarily on theology and doctrinal debate. But the Reformation was also a turning point in the history of mass communication, particularly related to the advent of the printing press and the new capacity it brought for the rapid circulation of ideas.  Print would be used primarily to publish words, but it was soon discovered that pictures could also have a profound effect on the shaping of consciousness.  One who most helped advance that awareness was Albrecht Dürer, a fellow German and contemporary of Martin Luther.</w:t>
      </w:r>
    </w:p>
    <w:p w14:paraId="43C94F32" w14:textId="77777777" w:rsidR="00235C70" w:rsidRPr="00D81F4C" w:rsidRDefault="00235C70" w:rsidP="00A52BF4">
      <w:pPr>
        <w:spacing w:line="240" w:lineRule="auto"/>
        <w:ind w:firstLine="720"/>
        <w:jc w:val="both"/>
        <w:rPr>
          <w:rFonts w:ascii="Tahoma" w:hAnsi="Tahoma" w:cs="Tahoma"/>
          <w:sz w:val="26"/>
          <w:szCs w:val="26"/>
        </w:rPr>
      </w:pPr>
    </w:p>
    <w:p w14:paraId="1CF00131" w14:textId="39B6AB83" w:rsidR="008F4E24" w:rsidRPr="00D81F4C" w:rsidRDefault="00235C70" w:rsidP="00A52BF4">
      <w:pPr>
        <w:spacing w:line="240" w:lineRule="auto"/>
        <w:ind w:firstLine="720"/>
        <w:jc w:val="both"/>
        <w:rPr>
          <w:rFonts w:ascii="Tahoma" w:hAnsi="Tahoma" w:cs="Tahoma"/>
          <w:sz w:val="26"/>
          <w:szCs w:val="26"/>
        </w:rPr>
      </w:pPr>
      <w:r w:rsidRPr="00D81F4C">
        <w:rPr>
          <w:rFonts w:ascii="Tahoma" w:hAnsi="Tahoma" w:cs="Tahoma"/>
          <w:sz w:val="26"/>
          <w:szCs w:val="26"/>
        </w:rPr>
        <w:t xml:space="preserve">You know the familiar “Praying Hands” that you see in gift shops and other places? The creator of the original drawing was done by Albrecht Dürer. </w:t>
      </w:r>
      <w:r w:rsidR="00577D58" w:rsidRPr="00D81F4C">
        <w:rPr>
          <w:rFonts w:ascii="Tahoma" w:hAnsi="Tahoma" w:cs="Tahoma"/>
          <w:sz w:val="26"/>
          <w:szCs w:val="26"/>
        </w:rPr>
        <w:t xml:space="preserve">Born in Nuremberg, Germany in 1471, </w:t>
      </w:r>
      <w:r w:rsidRPr="00D81F4C">
        <w:rPr>
          <w:rFonts w:ascii="Tahoma" w:hAnsi="Tahoma" w:cs="Tahoma"/>
          <w:sz w:val="26"/>
          <w:szCs w:val="26"/>
        </w:rPr>
        <w:t xml:space="preserve">he </w:t>
      </w:r>
      <w:r w:rsidR="00832A3B" w:rsidRPr="00D81F4C">
        <w:rPr>
          <w:rFonts w:ascii="Tahoma" w:hAnsi="Tahoma" w:cs="Tahoma"/>
          <w:sz w:val="26"/>
          <w:szCs w:val="26"/>
        </w:rPr>
        <w:t>was the oldest son and third of eighteen children</w:t>
      </w:r>
      <w:r w:rsidR="00577D58" w:rsidRPr="00D81F4C">
        <w:rPr>
          <w:rFonts w:ascii="Tahoma" w:hAnsi="Tahoma" w:cs="Tahoma"/>
          <w:sz w:val="26"/>
          <w:szCs w:val="26"/>
        </w:rPr>
        <w:t xml:space="preserve">. </w:t>
      </w:r>
      <w:r w:rsidR="00613C8F" w:rsidRPr="00D81F4C">
        <w:rPr>
          <w:rFonts w:ascii="Tahoma" w:hAnsi="Tahoma" w:cs="Tahoma"/>
          <w:sz w:val="26"/>
          <w:szCs w:val="26"/>
        </w:rPr>
        <w:t xml:space="preserve">His father </w:t>
      </w:r>
      <w:r w:rsidR="009637AB" w:rsidRPr="00D81F4C">
        <w:rPr>
          <w:rFonts w:ascii="Tahoma" w:hAnsi="Tahoma" w:cs="Tahoma"/>
          <w:sz w:val="26"/>
          <w:szCs w:val="26"/>
        </w:rPr>
        <w:t>was an honest, patient</w:t>
      </w:r>
      <w:r w:rsidR="00613C8F" w:rsidRPr="00D81F4C">
        <w:rPr>
          <w:rFonts w:ascii="Tahoma" w:hAnsi="Tahoma" w:cs="Tahoma"/>
          <w:sz w:val="26"/>
          <w:szCs w:val="26"/>
        </w:rPr>
        <w:t xml:space="preserve"> man who raised Albrecht to honor God as he apprenticed </w:t>
      </w:r>
      <w:r w:rsidR="00832A3B" w:rsidRPr="00D81F4C">
        <w:rPr>
          <w:rFonts w:ascii="Tahoma" w:hAnsi="Tahoma" w:cs="Tahoma"/>
          <w:sz w:val="26"/>
          <w:szCs w:val="26"/>
        </w:rPr>
        <w:t xml:space="preserve">in his father’s goldsmith shop. </w:t>
      </w:r>
      <w:r w:rsidR="00713FF1" w:rsidRPr="00D81F4C">
        <w:rPr>
          <w:rFonts w:ascii="Tahoma" w:hAnsi="Tahoma" w:cs="Tahoma"/>
          <w:sz w:val="26"/>
          <w:szCs w:val="26"/>
        </w:rPr>
        <w:t xml:space="preserve">At age fifteen he left to </w:t>
      </w:r>
      <w:r w:rsidRPr="00D81F4C">
        <w:rPr>
          <w:rFonts w:ascii="Tahoma" w:hAnsi="Tahoma" w:cs="Tahoma"/>
          <w:sz w:val="26"/>
          <w:szCs w:val="26"/>
        </w:rPr>
        <w:t xml:space="preserve">apprentice </w:t>
      </w:r>
      <w:r w:rsidR="00713FF1" w:rsidRPr="00D81F4C">
        <w:rPr>
          <w:rFonts w:ascii="Tahoma" w:hAnsi="Tahoma" w:cs="Tahoma"/>
          <w:sz w:val="26"/>
          <w:szCs w:val="26"/>
        </w:rPr>
        <w:t>with</w:t>
      </w:r>
      <w:r w:rsidRPr="00D81F4C">
        <w:rPr>
          <w:rFonts w:ascii="Tahoma" w:hAnsi="Tahoma" w:cs="Tahoma"/>
          <w:sz w:val="26"/>
          <w:szCs w:val="26"/>
        </w:rPr>
        <w:t xml:space="preserve"> one of Nuremberg</w:t>
      </w:r>
      <w:r w:rsidR="00713FF1" w:rsidRPr="00D81F4C">
        <w:rPr>
          <w:rFonts w:ascii="Tahoma" w:hAnsi="Tahoma" w:cs="Tahoma"/>
          <w:sz w:val="26"/>
          <w:szCs w:val="26"/>
        </w:rPr>
        <w:t>’</w:t>
      </w:r>
      <w:r w:rsidRPr="00D81F4C">
        <w:rPr>
          <w:rFonts w:ascii="Tahoma" w:hAnsi="Tahoma" w:cs="Tahoma"/>
          <w:sz w:val="26"/>
          <w:szCs w:val="26"/>
        </w:rPr>
        <w:t>s best illustrators</w:t>
      </w:r>
      <w:r w:rsidR="00713FF1" w:rsidRPr="00D81F4C">
        <w:rPr>
          <w:rFonts w:ascii="Tahoma" w:hAnsi="Tahoma" w:cs="Tahoma"/>
          <w:sz w:val="26"/>
          <w:szCs w:val="26"/>
        </w:rPr>
        <w:t xml:space="preserve"> exhibiting </w:t>
      </w:r>
      <w:r w:rsidRPr="00D81F4C">
        <w:rPr>
          <w:rFonts w:ascii="Tahoma" w:hAnsi="Tahoma" w:cs="Tahoma"/>
          <w:sz w:val="26"/>
          <w:szCs w:val="26"/>
        </w:rPr>
        <w:t xml:space="preserve">an early gift for drawing and engraving. Influenced in style and approach by trips to Venice and Italy (in 1494 and again in 1505), Dürer produced internationally famous works by the time he was 30 years old. He drew just about everything, and with extraordinary skill. He produced hundreds of paintings, thousands of drawings, nearly 400 woodcuts and more than 100 engravings and etchings. He portrayed everyday objects, broad religious themes, his family and himself, and all of his work was characterized by a mastery of form and detail. </w:t>
      </w:r>
    </w:p>
    <w:p w14:paraId="3E6A67FA" w14:textId="77777777" w:rsidR="00613C8F" w:rsidRPr="00D81F4C" w:rsidRDefault="00613C8F" w:rsidP="00A52BF4">
      <w:pPr>
        <w:spacing w:line="240" w:lineRule="auto"/>
        <w:jc w:val="both"/>
        <w:rPr>
          <w:rFonts w:ascii="Tahoma" w:hAnsi="Tahoma" w:cs="Tahoma"/>
          <w:sz w:val="26"/>
          <w:szCs w:val="26"/>
        </w:rPr>
      </w:pPr>
    </w:p>
    <w:p w14:paraId="1323BDFC" w14:textId="2FDE8C92" w:rsidR="00F46629" w:rsidRPr="00D81F4C" w:rsidRDefault="00DD33CF" w:rsidP="00A52BF4">
      <w:pPr>
        <w:spacing w:line="240" w:lineRule="auto"/>
        <w:ind w:firstLine="720"/>
        <w:jc w:val="both"/>
        <w:rPr>
          <w:rFonts w:ascii="Tahoma" w:hAnsi="Tahoma" w:cs="Tahoma"/>
          <w:sz w:val="26"/>
          <w:szCs w:val="26"/>
        </w:rPr>
      </w:pPr>
      <w:r w:rsidRPr="00D81F4C">
        <w:rPr>
          <w:rFonts w:ascii="Tahoma" w:hAnsi="Tahoma" w:cs="Tahoma"/>
          <w:sz w:val="26"/>
          <w:szCs w:val="26"/>
        </w:rPr>
        <w:t xml:space="preserve">His earliest major work, </w:t>
      </w:r>
      <w:r w:rsidR="00115418" w:rsidRPr="00D81F4C">
        <w:rPr>
          <w:rFonts w:ascii="Tahoma" w:hAnsi="Tahoma" w:cs="Tahoma"/>
          <w:sz w:val="26"/>
          <w:szCs w:val="26"/>
        </w:rPr>
        <w:t>“</w:t>
      </w:r>
      <w:r w:rsidRPr="00D81F4C">
        <w:rPr>
          <w:rFonts w:ascii="Tahoma" w:hAnsi="Tahoma" w:cs="Tahoma"/>
          <w:sz w:val="26"/>
          <w:szCs w:val="26"/>
        </w:rPr>
        <w:t xml:space="preserve">The </w:t>
      </w:r>
      <w:r w:rsidR="00A253EC" w:rsidRPr="00D81F4C">
        <w:rPr>
          <w:rFonts w:ascii="Tahoma" w:hAnsi="Tahoma" w:cs="Tahoma"/>
          <w:sz w:val="26"/>
          <w:szCs w:val="26"/>
        </w:rPr>
        <w:t xml:space="preserve">Four Horsemen of the </w:t>
      </w:r>
      <w:r w:rsidRPr="00D81F4C">
        <w:rPr>
          <w:rFonts w:ascii="Tahoma" w:hAnsi="Tahoma" w:cs="Tahoma"/>
          <w:sz w:val="26"/>
          <w:szCs w:val="26"/>
        </w:rPr>
        <w:t>Apocalypse</w:t>
      </w:r>
      <w:r w:rsidR="00DF6BD0" w:rsidRPr="00D81F4C">
        <w:rPr>
          <w:rFonts w:ascii="Tahoma" w:hAnsi="Tahoma" w:cs="Tahoma"/>
          <w:sz w:val="26"/>
          <w:szCs w:val="26"/>
        </w:rPr>
        <w:t>,</w:t>
      </w:r>
      <w:r w:rsidR="00115418" w:rsidRPr="00D81F4C">
        <w:rPr>
          <w:rFonts w:ascii="Tahoma" w:hAnsi="Tahoma" w:cs="Tahoma"/>
          <w:sz w:val="26"/>
          <w:szCs w:val="26"/>
        </w:rPr>
        <w:t>”</w:t>
      </w:r>
      <w:r w:rsidRPr="00D81F4C">
        <w:rPr>
          <w:rFonts w:ascii="Tahoma" w:hAnsi="Tahoma" w:cs="Tahoma"/>
          <w:sz w:val="26"/>
          <w:szCs w:val="26"/>
        </w:rPr>
        <w:t xml:space="preserve"> was a series of large prints illustrating the book of Revelation, with Scripture on the reverse side. His work used larger, full-page-sized blocks of hardwood, which held detailed and energetic illustrations. </w:t>
      </w:r>
      <w:r w:rsidR="00A253EC" w:rsidRPr="00D81F4C">
        <w:rPr>
          <w:rFonts w:ascii="Tahoma" w:hAnsi="Tahoma" w:cs="Tahoma"/>
          <w:sz w:val="26"/>
          <w:szCs w:val="26"/>
        </w:rPr>
        <w:t xml:space="preserve">This was </w:t>
      </w:r>
      <w:r w:rsidRPr="00D81F4C">
        <w:rPr>
          <w:rFonts w:ascii="Tahoma" w:hAnsi="Tahoma" w:cs="Tahoma"/>
          <w:sz w:val="26"/>
          <w:szCs w:val="26"/>
        </w:rPr>
        <w:t>followed by a series of large and small illustrations of the “Life o</w:t>
      </w:r>
      <w:r w:rsidR="00115418" w:rsidRPr="00D81F4C">
        <w:rPr>
          <w:rFonts w:ascii="Tahoma" w:hAnsi="Tahoma" w:cs="Tahoma"/>
          <w:sz w:val="26"/>
          <w:szCs w:val="26"/>
        </w:rPr>
        <w:t>f</w:t>
      </w:r>
      <w:r w:rsidRPr="00D81F4C">
        <w:rPr>
          <w:rFonts w:ascii="Tahoma" w:hAnsi="Tahoma" w:cs="Tahoma"/>
          <w:sz w:val="26"/>
          <w:szCs w:val="26"/>
        </w:rPr>
        <w:t xml:space="preserve"> Mary” and the “Passion of Christ.”</w:t>
      </w:r>
      <w:r w:rsidR="00BC6CD8" w:rsidRPr="00D81F4C">
        <w:rPr>
          <w:rFonts w:ascii="Tahoma" w:hAnsi="Tahoma" w:cs="Tahoma"/>
          <w:sz w:val="26"/>
          <w:szCs w:val="26"/>
        </w:rPr>
        <w:t xml:space="preserve"> These</w:t>
      </w:r>
      <w:r w:rsidRPr="00D81F4C">
        <w:rPr>
          <w:rFonts w:ascii="Tahoma" w:hAnsi="Tahoma" w:cs="Tahoma"/>
          <w:sz w:val="26"/>
          <w:szCs w:val="26"/>
        </w:rPr>
        <w:t xml:space="preserve"> became important tools for Christian laymen, many of whom could not read.  </w:t>
      </w:r>
    </w:p>
    <w:p w14:paraId="5D3C300E" w14:textId="77777777" w:rsidR="00F46629" w:rsidRPr="00D81F4C" w:rsidRDefault="00F46629" w:rsidP="00A52BF4">
      <w:pPr>
        <w:spacing w:line="240" w:lineRule="auto"/>
        <w:jc w:val="both"/>
        <w:rPr>
          <w:rFonts w:ascii="Tahoma" w:hAnsi="Tahoma" w:cs="Tahoma"/>
          <w:sz w:val="26"/>
          <w:szCs w:val="26"/>
        </w:rPr>
      </w:pPr>
    </w:p>
    <w:p w14:paraId="690C7C2C" w14:textId="45D079F9" w:rsidR="00411394" w:rsidRPr="00D81F4C" w:rsidRDefault="00713FF1" w:rsidP="00A52BF4">
      <w:pPr>
        <w:spacing w:line="240" w:lineRule="auto"/>
        <w:ind w:firstLine="720"/>
        <w:jc w:val="both"/>
        <w:rPr>
          <w:rFonts w:ascii="Tahoma" w:hAnsi="Tahoma" w:cs="Tahoma"/>
          <w:sz w:val="26"/>
          <w:szCs w:val="26"/>
        </w:rPr>
      </w:pPr>
      <w:r w:rsidRPr="00D81F4C">
        <w:rPr>
          <w:rFonts w:ascii="Tahoma" w:hAnsi="Tahoma" w:cs="Tahoma"/>
          <w:sz w:val="26"/>
          <w:szCs w:val="26"/>
        </w:rPr>
        <w:t>Dürer</w:t>
      </w:r>
      <w:r w:rsidR="00F46629" w:rsidRPr="00D81F4C">
        <w:rPr>
          <w:rFonts w:ascii="Tahoma" w:hAnsi="Tahoma" w:cs="Tahoma"/>
          <w:sz w:val="26"/>
          <w:szCs w:val="26"/>
        </w:rPr>
        <w:t xml:space="preserve"> also did many portraits of famous people of his day, one of which was Friedrich the Wise, Elector of Saxony who had founded the University of Wittenberg. There </w:t>
      </w:r>
      <w:r w:rsidR="00A253EC" w:rsidRPr="00D81F4C">
        <w:rPr>
          <w:rFonts w:ascii="Tahoma" w:hAnsi="Tahoma" w:cs="Tahoma"/>
          <w:sz w:val="26"/>
          <w:szCs w:val="26"/>
        </w:rPr>
        <w:t>Dürer</w:t>
      </w:r>
      <w:r w:rsidR="00F46629" w:rsidRPr="00D81F4C">
        <w:rPr>
          <w:rFonts w:ascii="Tahoma" w:hAnsi="Tahoma" w:cs="Tahoma"/>
          <w:sz w:val="26"/>
          <w:szCs w:val="26"/>
        </w:rPr>
        <w:t xml:space="preserve"> began attending the sermon services given by Martin Luther’s mentor, Johann von Staupitz. </w:t>
      </w:r>
      <w:r w:rsidR="00A253EC" w:rsidRPr="00D81F4C">
        <w:rPr>
          <w:rFonts w:ascii="Tahoma" w:hAnsi="Tahoma" w:cs="Tahoma"/>
          <w:sz w:val="26"/>
          <w:szCs w:val="26"/>
        </w:rPr>
        <w:t>Dürer</w:t>
      </w:r>
      <w:r w:rsidR="00F46629" w:rsidRPr="00D81F4C">
        <w:rPr>
          <w:rFonts w:ascii="Tahoma" w:hAnsi="Tahoma" w:cs="Tahoma"/>
          <w:sz w:val="26"/>
          <w:szCs w:val="26"/>
        </w:rPr>
        <w:t xml:space="preserve"> was </w:t>
      </w:r>
      <w:r w:rsidR="00A253EC" w:rsidRPr="00D81F4C">
        <w:rPr>
          <w:rFonts w:ascii="Tahoma" w:hAnsi="Tahoma" w:cs="Tahoma"/>
          <w:sz w:val="26"/>
          <w:szCs w:val="26"/>
        </w:rPr>
        <w:t xml:space="preserve">as </w:t>
      </w:r>
      <w:r w:rsidR="00F46629" w:rsidRPr="00D81F4C">
        <w:rPr>
          <w:rFonts w:ascii="Tahoma" w:hAnsi="Tahoma" w:cs="Tahoma"/>
          <w:sz w:val="26"/>
          <w:szCs w:val="26"/>
        </w:rPr>
        <w:t>deeply moved</w:t>
      </w:r>
      <w:r w:rsidR="00D81F4C">
        <w:rPr>
          <w:rFonts w:ascii="Tahoma" w:hAnsi="Tahoma" w:cs="Tahoma"/>
          <w:sz w:val="26"/>
          <w:szCs w:val="26"/>
        </w:rPr>
        <w:t>,</w:t>
      </w:r>
      <w:r w:rsidR="00F46629" w:rsidRPr="00D81F4C">
        <w:rPr>
          <w:rFonts w:ascii="Tahoma" w:hAnsi="Tahoma" w:cs="Tahoma"/>
          <w:sz w:val="26"/>
          <w:szCs w:val="26"/>
        </w:rPr>
        <w:t xml:space="preserve"> as Luther had been</w:t>
      </w:r>
      <w:r w:rsidR="00D81F4C">
        <w:rPr>
          <w:rFonts w:ascii="Tahoma" w:hAnsi="Tahoma" w:cs="Tahoma"/>
          <w:sz w:val="26"/>
          <w:szCs w:val="26"/>
        </w:rPr>
        <w:t>,</w:t>
      </w:r>
      <w:r w:rsidR="00A253EC" w:rsidRPr="00D81F4C">
        <w:rPr>
          <w:rFonts w:ascii="Tahoma" w:hAnsi="Tahoma" w:cs="Tahoma"/>
          <w:sz w:val="26"/>
          <w:szCs w:val="26"/>
        </w:rPr>
        <w:t xml:space="preserve"> with Staupitz’ emphasis on Christ’s passion as the only key to forgiveness from sin</w:t>
      </w:r>
      <w:r w:rsidR="00F46629" w:rsidRPr="00D81F4C">
        <w:rPr>
          <w:rFonts w:ascii="Tahoma" w:hAnsi="Tahoma" w:cs="Tahoma"/>
          <w:sz w:val="26"/>
          <w:szCs w:val="26"/>
        </w:rPr>
        <w:t xml:space="preserve">. </w:t>
      </w:r>
      <w:r w:rsidR="00A253EC" w:rsidRPr="00D81F4C">
        <w:rPr>
          <w:rFonts w:ascii="Tahoma" w:hAnsi="Tahoma" w:cs="Tahoma"/>
          <w:sz w:val="26"/>
          <w:szCs w:val="26"/>
        </w:rPr>
        <w:t>W</w:t>
      </w:r>
      <w:r w:rsidR="00F46629" w:rsidRPr="00D81F4C">
        <w:rPr>
          <w:rFonts w:ascii="Tahoma" w:hAnsi="Tahoma" w:cs="Tahoma"/>
          <w:sz w:val="26"/>
          <w:szCs w:val="26"/>
        </w:rPr>
        <w:t xml:space="preserve">hen </w:t>
      </w:r>
      <w:r w:rsidR="00A253EC" w:rsidRPr="00D81F4C">
        <w:rPr>
          <w:rFonts w:ascii="Tahoma" w:hAnsi="Tahoma" w:cs="Tahoma"/>
          <w:sz w:val="26"/>
          <w:szCs w:val="26"/>
        </w:rPr>
        <w:t>Dürer</w:t>
      </w:r>
      <w:r w:rsidR="00F46629" w:rsidRPr="00D81F4C">
        <w:rPr>
          <w:rFonts w:ascii="Tahoma" w:hAnsi="Tahoma" w:cs="Tahoma"/>
          <w:sz w:val="26"/>
          <w:szCs w:val="26"/>
        </w:rPr>
        <w:t xml:space="preserve"> again returned to Nuremberg</w:t>
      </w:r>
      <w:r w:rsidR="00D81F4C">
        <w:rPr>
          <w:rFonts w:ascii="Tahoma" w:hAnsi="Tahoma" w:cs="Tahoma"/>
          <w:sz w:val="26"/>
          <w:szCs w:val="26"/>
        </w:rPr>
        <w:t>,</w:t>
      </w:r>
      <w:r w:rsidR="00F46629" w:rsidRPr="00D81F4C">
        <w:rPr>
          <w:rFonts w:ascii="Tahoma" w:hAnsi="Tahoma" w:cs="Tahoma"/>
          <w:sz w:val="26"/>
          <w:szCs w:val="26"/>
        </w:rPr>
        <w:t xml:space="preserve"> he devoted </w:t>
      </w:r>
      <w:r w:rsidR="00A253EC" w:rsidRPr="00D81F4C">
        <w:rPr>
          <w:rFonts w:ascii="Tahoma" w:hAnsi="Tahoma" w:cs="Tahoma"/>
          <w:sz w:val="26"/>
          <w:szCs w:val="26"/>
        </w:rPr>
        <w:t xml:space="preserve">almost </w:t>
      </w:r>
      <w:r w:rsidR="00F46629" w:rsidRPr="00D81F4C">
        <w:rPr>
          <w:rFonts w:ascii="Tahoma" w:hAnsi="Tahoma" w:cs="Tahoma"/>
          <w:sz w:val="26"/>
          <w:szCs w:val="26"/>
        </w:rPr>
        <w:t xml:space="preserve">all of his work to </w:t>
      </w:r>
      <w:r w:rsidR="00A52BF4" w:rsidRPr="00D81F4C">
        <w:rPr>
          <w:rFonts w:ascii="Tahoma" w:hAnsi="Tahoma" w:cs="Tahoma"/>
          <w:sz w:val="26"/>
          <w:szCs w:val="26"/>
        </w:rPr>
        <w:t>b</w:t>
      </w:r>
      <w:r w:rsidR="00F46629" w:rsidRPr="00D81F4C">
        <w:rPr>
          <w:rFonts w:ascii="Tahoma" w:hAnsi="Tahoma" w:cs="Tahoma"/>
          <w:sz w:val="26"/>
          <w:szCs w:val="26"/>
        </w:rPr>
        <w:t>iblical subjects such as “The Four Holy Men,” about Sts. John, Peter, Mark and Paul.</w:t>
      </w:r>
      <w:r w:rsidR="00BC6CD8" w:rsidRPr="00D81F4C">
        <w:rPr>
          <w:rFonts w:ascii="Tahoma" w:hAnsi="Tahoma" w:cs="Tahoma"/>
          <w:sz w:val="26"/>
          <w:szCs w:val="26"/>
        </w:rPr>
        <w:t xml:space="preserve"> </w:t>
      </w:r>
      <w:r w:rsidR="00A253EC" w:rsidRPr="00D81F4C">
        <w:rPr>
          <w:rFonts w:ascii="Tahoma" w:hAnsi="Tahoma" w:cs="Tahoma"/>
          <w:sz w:val="26"/>
          <w:szCs w:val="26"/>
        </w:rPr>
        <w:t>Below th</w:t>
      </w:r>
      <w:r w:rsidR="00A52BF4" w:rsidRPr="00D81F4C">
        <w:rPr>
          <w:rFonts w:ascii="Tahoma" w:hAnsi="Tahoma" w:cs="Tahoma"/>
          <w:sz w:val="26"/>
          <w:szCs w:val="26"/>
        </w:rPr>
        <w:t>at</w:t>
      </w:r>
      <w:r w:rsidR="00A253EC" w:rsidRPr="00D81F4C">
        <w:rPr>
          <w:rFonts w:ascii="Tahoma" w:hAnsi="Tahoma" w:cs="Tahoma"/>
          <w:sz w:val="26"/>
          <w:szCs w:val="26"/>
        </w:rPr>
        <w:t xml:space="preserve"> painting Dürer wrote, “All worldly rulers in these dangerous times should give good heed that they receive not human misguidance for the Word of God, for God will have nothing added to His </w:t>
      </w:r>
      <w:r w:rsidR="00A253EC" w:rsidRPr="00D81F4C">
        <w:rPr>
          <w:rFonts w:ascii="Tahoma" w:hAnsi="Tahoma" w:cs="Tahoma"/>
          <w:sz w:val="26"/>
          <w:szCs w:val="26"/>
        </w:rPr>
        <w:lastRenderedPageBreak/>
        <w:t xml:space="preserve">Word nor taken away from it. Hear therefore these four excellent men . . . and their warning.” </w:t>
      </w:r>
    </w:p>
    <w:p w14:paraId="1F04A430" w14:textId="77777777" w:rsidR="00411394" w:rsidRPr="00D81F4C" w:rsidRDefault="00411394" w:rsidP="00A52BF4">
      <w:pPr>
        <w:spacing w:line="240" w:lineRule="auto"/>
        <w:jc w:val="both"/>
        <w:rPr>
          <w:rFonts w:ascii="Tahoma" w:hAnsi="Tahoma" w:cs="Tahoma"/>
          <w:sz w:val="26"/>
          <w:szCs w:val="26"/>
        </w:rPr>
      </w:pPr>
    </w:p>
    <w:p w14:paraId="101B971D" w14:textId="77777777" w:rsidR="00577D58" w:rsidRPr="00D81F4C" w:rsidRDefault="00577D58" w:rsidP="00A52BF4">
      <w:pPr>
        <w:spacing w:line="240" w:lineRule="auto"/>
        <w:ind w:firstLine="720"/>
        <w:jc w:val="both"/>
        <w:rPr>
          <w:rFonts w:ascii="Tahoma" w:hAnsi="Tahoma" w:cs="Tahoma"/>
          <w:sz w:val="26"/>
          <w:szCs w:val="26"/>
        </w:rPr>
      </w:pPr>
      <w:r w:rsidRPr="00D81F4C">
        <w:rPr>
          <w:rFonts w:ascii="Tahoma" w:hAnsi="Tahoma" w:cs="Tahoma"/>
          <w:sz w:val="26"/>
          <w:szCs w:val="26"/>
        </w:rPr>
        <w:t xml:space="preserve">After 1512 Dürer had official duties under Emperor Maximilian I and his successor, Charles V, and was known to have associated with luminaries such as </w:t>
      </w:r>
      <w:hyperlink r:id="rId5" w:history="1">
        <w:r w:rsidRPr="00D81F4C">
          <w:rPr>
            <w:rStyle w:val="Hyperlink"/>
            <w:rFonts w:ascii="Tahoma" w:hAnsi="Tahoma" w:cs="Tahoma"/>
            <w:color w:val="auto"/>
            <w:sz w:val="26"/>
            <w:szCs w:val="26"/>
            <w:u w:val="none"/>
          </w:rPr>
          <w:t>Erasmus</w:t>
        </w:r>
      </w:hyperlink>
      <w:r w:rsidRPr="00D81F4C">
        <w:rPr>
          <w:rFonts w:ascii="Tahoma" w:hAnsi="Tahoma" w:cs="Tahoma"/>
          <w:sz w:val="26"/>
          <w:szCs w:val="26"/>
        </w:rPr>
        <w:t xml:space="preserve">, </w:t>
      </w:r>
      <w:hyperlink r:id="rId6" w:history="1">
        <w:r w:rsidRPr="00D81F4C">
          <w:rPr>
            <w:rStyle w:val="Hyperlink"/>
            <w:rFonts w:ascii="Tahoma" w:hAnsi="Tahoma" w:cs="Tahoma"/>
            <w:color w:val="auto"/>
            <w:sz w:val="26"/>
            <w:szCs w:val="26"/>
            <w:u w:val="none"/>
          </w:rPr>
          <w:t>Martin Luther</w:t>
        </w:r>
      </w:hyperlink>
      <w:r w:rsidRPr="00D81F4C">
        <w:rPr>
          <w:rFonts w:ascii="Tahoma" w:hAnsi="Tahoma" w:cs="Tahoma"/>
          <w:sz w:val="26"/>
          <w:szCs w:val="26"/>
        </w:rPr>
        <w:t xml:space="preserve"> and </w:t>
      </w:r>
      <w:hyperlink r:id="rId7" w:history="1">
        <w:r w:rsidRPr="00D81F4C">
          <w:rPr>
            <w:rStyle w:val="Hyperlink"/>
            <w:rFonts w:ascii="Tahoma" w:hAnsi="Tahoma" w:cs="Tahoma"/>
            <w:color w:val="auto"/>
            <w:sz w:val="26"/>
            <w:szCs w:val="26"/>
            <w:u w:val="none"/>
          </w:rPr>
          <w:t>Raphael</w:t>
        </w:r>
      </w:hyperlink>
      <w:r w:rsidRPr="00D81F4C">
        <w:rPr>
          <w:rFonts w:ascii="Tahoma" w:hAnsi="Tahoma" w:cs="Tahoma"/>
          <w:sz w:val="26"/>
          <w:szCs w:val="26"/>
        </w:rPr>
        <w:t xml:space="preserve">. </w:t>
      </w:r>
      <w:r w:rsidR="0055104A" w:rsidRPr="00D81F4C">
        <w:rPr>
          <w:rFonts w:ascii="Tahoma" w:hAnsi="Tahoma" w:cs="Tahoma"/>
          <w:sz w:val="26"/>
          <w:szCs w:val="26"/>
        </w:rPr>
        <w:t>He died of typhus fever in 1528 leaving a legacy as one of the greatest artists of the Renaissance.</w:t>
      </w:r>
    </w:p>
    <w:sectPr w:rsidR="00577D58" w:rsidRPr="00D81F4C" w:rsidSect="00AA25B2">
      <w:pgSz w:w="12240" w:h="15840"/>
      <w:pgMar w:top="81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F4E24"/>
    <w:rsid w:val="00115418"/>
    <w:rsid w:val="0016745A"/>
    <w:rsid w:val="00235C70"/>
    <w:rsid w:val="00411394"/>
    <w:rsid w:val="00484D1C"/>
    <w:rsid w:val="0055104A"/>
    <w:rsid w:val="00561585"/>
    <w:rsid w:val="00577D58"/>
    <w:rsid w:val="00607282"/>
    <w:rsid w:val="00613C8F"/>
    <w:rsid w:val="0065116E"/>
    <w:rsid w:val="006C4B8B"/>
    <w:rsid w:val="00711F11"/>
    <w:rsid w:val="00713FF1"/>
    <w:rsid w:val="00763B1A"/>
    <w:rsid w:val="007872B8"/>
    <w:rsid w:val="00831139"/>
    <w:rsid w:val="00832A3B"/>
    <w:rsid w:val="008962F3"/>
    <w:rsid w:val="008A492A"/>
    <w:rsid w:val="008F4E24"/>
    <w:rsid w:val="009637AB"/>
    <w:rsid w:val="00A03593"/>
    <w:rsid w:val="00A253EC"/>
    <w:rsid w:val="00A52BF4"/>
    <w:rsid w:val="00AA25B2"/>
    <w:rsid w:val="00BC6CD8"/>
    <w:rsid w:val="00BD3F38"/>
    <w:rsid w:val="00D00429"/>
    <w:rsid w:val="00D137D8"/>
    <w:rsid w:val="00D56AA9"/>
    <w:rsid w:val="00D81F4C"/>
    <w:rsid w:val="00DA703E"/>
    <w:rsid w:val="00DD33CF"/>
    <w:rsid w:val="00DF6BD0"/>
    <w:rsid w:val="00E40A97"/>
    <w:rsid w:val="00E60A47"/>
    <w:rsid w:val="00EA5C99"/>
    <w:rsid w:val="00F30E38"/>
    <w:rsid w:val="00F46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3516"/>
  <w15:docId w15:val="{ED34A355-345D-442D-B4DD-637DD7AB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7D58"/>
    <w:rPr>
      <w:color w:val="0000FF"/>
      <w:u w:val="single"/>
    </w:rPr>
  </w:style>
  <w:style w:type="paragraph" w:styleId="BalloonText">
    <w:name w:val="Balloon Text"/>
    <w:basedOn w:val="Normal"/>
    <w:link w:val="BalloonTextChar"/>
    <w:uiPriority w:val="99"/>
    <w:semiHidden/>
    <w:unhideWhenUsed/>
    <w:rsid w:val="00AA25B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5B2"/>
    <w:rPr>
      <w:rFonts w:ascii="Tahoma" w:hAnsi="Tahoma" w:cs="Tahoma"/>
      <w:sz w:val="16"/>
      <w:szCs w:val="16"/>
    </w:rPr>
  </w:style>
  <w:style w:type="character" w:styleId="CommentReference">
    <w:name w:val="annotation reference"/>
    <w:basedOn w:val="DefaultParagraphFont"/>
    <w:uiPriority w:val="99"/>
    <w:semiHidden/>
    <w:unhideWhenUsed/>
    <w:rsid w:val="00484D1C"/>
    <w:rPr>
      <w:sz w:val="16"/>
      <w:szCs w:val="16"/>
    </w:rPr>
  </w:style>
  <w:style w:type="paragraph" w:styleId="CommentText">
    <w:name w:val="annotation text"/>
    <w:basedOn w:val="Normal"/>
    <w:link w:val="CommentTextChar"/>
    <w:uiPriority w:val="99"/>
    <w:semiHidden/>
    <w:unhideWhenUsed/>
    <w:rsid w:val="00484D1C"/>
    <w:pPr>
      <w:spacing w:line="240" w:lineRule="auto"/>
    </w:pPr>
    <w:rPr>
      <w:sz w:val="20"/>
      <w:szCs w:val="20"/>
    </w:rPr>
  </w:style>
  <w:style w:type="character" w:customStyle="1" w:styleId="CommentTextChar">
    <w:name w:val="Comment Text Char"/>
    <w:basedOn w:val="DefaultParagraphFont"/>
    <w:link w:val="CommentText"/>
    <w:uiPriority w:val="99"/>
    <w:semiHidden/>
    <w:rsid w:val="00484D1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84D1C"/>
    <w:rPr>
      <w:b/>
      <w:bCs/>
    </w:rPr>
  </w:style>
  <w:style w:type="character" w:customStyle="1" w:styleId="CommentSubjectChar">
    <w:name w:val="Comment Subject Char"/>
    <w:basedOn w:val="CommentTextChar"/>
    <w:link w:val="CommentSubject"/>
    <w:uiPriority w:val="99"/>
    <w:semiHidden/>
    <w:rsid w:val="00484D1C"/>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who2.com/bio/raphae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ho2.com/bio/martin-luther" TargetMode="External"/><Relationship Id="rId5" Type="http://schemas.openxmlformats.org/officeDocument/2006/relationships/hyperlink" Target="http://www.who2.com/bio/erasmus"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12</cp:revision>
  <cp:lastPrinted>2013-08-13T22:52:00Z</cp:lastPrinted>
  <dcterms:created xsi:type="dcterms:W3CDTF">2013-06-21T19:38:00Z</dcterms:created>
  <dcterms:modified xsi:type="dcterms:W3CDTF">2026-06-27T21:48:00Z</dcterms:modified>
</cp:coreProperties>
</file>