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7E1AB" w14:textId="5A00C492" w:rsidR="009D56C4" w:rsidRPr="00364A18" w:rsidRDefault="0099347A" w:rsidP="00364A18">
      <w:pPr>
        <w:spacing w:line="240" w:lineRule="auto"/>
        <w:jc w:val="both"/>
        <w:rPr>
          <w:rFonts w:ascii="Tahoma" w:hAnsi="Tahoma" w:cs="Tahoma"/>
          <w:b/>
          <w:sz w:val="24"/>
          <w:szCs w:val="24"/>
        </w:rPr>
      </w:pPr>
      <w:r>
        <w:rPr>
          <w:noProof/>
        </w:rPr>
        <w:drawing>
          <wp:inline distT="0" distB="0" distL="0" distR="0" wp14:anchorId="0CBCAB57" wp14:editId="3D05CED2">
            <wp:extent cx="493648" cy="657585"/>
            <wp:effectExtent l="19050" t="0" r="1652" b="0"/>
            <wp:docPr id="1" name="Picture 1" descr="John Knox statue, Hadding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Knox statue, Haddington.jpg"/>
                    <pic:cNvPicPr>
                      <a:picLocks noChangeAspect="1" noChangeArrowheads="1"/>
                    </pic:cNvPicPr>
                  </pic:nvPicPr>
                  <pic:blipFill>
                    <a:blip r:embed="rId4" cstate="print"/>
                    <a:srcRect/>
                    <a:stretch>
                      <a:fillRect/>
                    </a:stretch>
                  </pic:blipFill>
                  <pic:spPr bwMode="auto">
                    <a:xfrm>
                      <a:off x="0" y="0"/>
                      <a:ext cx="494804" cy="659125"/>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B84499" w:rsidRPr="00364A18">
        <w:rPr>
          <w:rFonts w:ascii="Tahoma" w:hAnsi="Tahoma" w:cs="Tahoma"/>
          <w:b/>
          <w:sz w:val="24"/>
          <w:szCs w:val="24"/>
        </w:rPr>
        <w:t>J</w:t>
      </w:r>
      <w:r w:rsidR="008653EE">
        <w:rPr>
          <w:rFonts w:ascii="Tahoma" w:hAnsi="Tahoma" w:cs="Tahoma"/>
          <w:b/>
          <w:sz w:val="24"/>
          <w:szCs w:val="24"/>
        </w:rPr>
        <w:t xml:space="preserve">ohn Knox </w:t>
      </w:r>
      <w:r w:rsidR="00B84499" w:rsidRPr="00364A18">
        <w:rPr>
          <w:rFonts w:ascii="Tahoma" w:hAnsi="Tahoma" w:cs="Tahoma"/>
          <w:b/>
          <w:sz w:val="24"/>
          <w:szCs w:val="24"/>
        </w:rPr>
        <w:t xml:space="preserve"> 1513 – 1572</w:t>
      </w:r>
    </w:p>
    <w:p w14:paraId="15791C10" w14:textId="63D4A6F0" w:rsidR="003E7FB1" w:rsidRPr="00554614" w:rsidRDefault="00D04E5A" w:rsidP="00364A18">
      <w:pPr>
        <w:spacing w:after="0" w:line="240" w:lineRule="auto"/>
        <w:jc w:val="both"/>
        <w:rPr>
          <w:rFonts w:ascii="Tahoma" w:hAnsi="Tahoma" w:cs="Tahoma"/>
          <w:sz w:val="26"/>
          <w:szCs w:val="26"/>
        </w:rPr>
      </w:pPr>
      <w:r w:rsidRPr="00364A18">
        <w:rPr>
          <w:rFonts w:ascii="Tahoma" w:hAnsi="Tahoma" w:cs="Tahoma"/>
          <w:sz w:val="24"/>
          <w:szCs w:val="24"/>
        </w:rPr>
        <w:tab/>
      </w:r>
      <w:r w:rsidRPr="00554614">
        <w:rPr>
          <w:rFonts w:ascii="Tahoma" w:hAnsi="Tahoma" w:cs="Tahoma"/>
          <w:sz w:val="26"/>
          <w:szCs w:val="26"/>
        </w:rPr>
        <w:t xml:space="preserve">John Knox was a </w:t>
      </w:r>
      <w:hyperlink r:id="rId5" w:tooltip="Scottish people" w:history="1">
        <w:r w:rsidRPr="00554614">
          <w:rPr>
            <w:rStyle w:val="Hyperlink"/>
            <w:rFonts w:ascii="Tahoma" w:hAnsi="Tahoma" w:cs="Tahoma"/>
            <w:color w:val="auto"/>
            <w:sz w:val="26"/>
            <w:szCs w:val="26"/>
            <w:u w:val="none"/>
          </w:rPr>
          <w:t>Scottish</w:t>
        </w:r>
      </w:hyperlink>
      <w:r w:rsidRPr="00554614">
        <w:rPr>
          <w:rFonts w:ascii="Tahoma" w:hAnsi="Tahoma" w:cs="Tahoma"/>
          <w:sz w:val="26"/>
          <w:szCs w:val="26"/>
        </w:rPr>
        <w:t xml:space="preserve"> clergyman and a leader of the </w:t>
      </w:r>
      <w:hyperlink r:id="rId6" w:tooltip="Protestant Reformation" w:history="1">
        <w:r w:rsidRPr="00554614">
          <w:rPr>
            <w:rStyle w:val="Hyperlink"/>
            <w:rFonts w:ascii="Tahoma" w:hAnsi="Tahoma" w:cs="Tahoma"/>
            <w:color w:val="auto"/>
            <w:sz w:val="26"/>
            <w:szCs w:val="26"/>
            <w:u w:val="none"/>
          </w:rPr>
          <w:t>Protestant Reformation</w:t>
        </w:r>
      </w:hyperlink>
      <w:r w:rsidRPr="00554614">
        <w:rPr>
          <w:rFonts w:ascii="Tahoma" w:hAnsi="Tahoma" w:cs="Tahoma"/>
          <w:sz w:val="26"/>
          <w:szCs w:val="26"/>
        </w:rPr>
        <w:t xml:space="preserve"> who is considered the founder of the </w:t>
      </w:r>
      <w:hyperlink r:id="rId7" w:tooltip="Presbyterianism" w:history="1">
        <w:r w:rsidRPr="00554614">
          <w:rPr>
            <w:rStyle w:val="Hyperlink"/>
            <w:rFonts w:ascii="Tahoma" w:hAnsi="Tahoma" w:cs="Tahoma"/>
            <w:color w:val="auto"/>
            <w:sz w:val="26"/>
            <w:szCs w:val="26"/>
            <w:u w:val="none"/>
          </w:rPr>
          <w:t>Presbyterian</w:t>
        </w:r>
      </w:hyperlink>
      <w:r w:rsidRPr="00554614">
        <w:rPr>
          <w:rFonts w:ascii="Tahoma" w:hAnsi="Tahoma" w:cs="Tahoma"/>
          <w:sz w:val="26"/>
          <w:szCs w:val="26"/>
        </w:rPr>
        <w:t xml:space="preserve"> denomination in Scotland. He was believed to have been educated at the </w:t>
      </w:r>
      <w:hyperlink r:id="rId8" w:tooltip="University of St Andrews" w:history="1">
        <w:r w:rsidRPr="00554614">
          <w:rPr>
            <w:rStyle w:val="Hyperlink"/>
            <w:rFonts w:ascii="Tahoma" w:hAnsi="Tahoma" w:cs="Tahoma"/>
            <w:color w:val="auto"/>
            <w:sz w:val="26"/>
            <w:szCs w:val="26"/>
            <w:u w:val="none"/>
          </w:rPr>
          <w:t>University of St. Andrews</w:t>
        </w:r>
      </w:hyperlink>
      <w:r w:rsidRPr="00554614">
        <w:rPr>
          <w:rFonts w:ascii="Tahoma" w:hAnsi="Tahoma" w:cs="Tahoma"/>
          <w:sz w:val="26"/>
          <w:szCs w:val="26"/>
        </w:rPr>
        <w:t xml:space="preserve"> and worked as a notary-priest. Influenced by early church reformers such as </w:t>
      </w:r>
      <w:hyperlink r:id="rId9" w:tooltip="George Wishart" w:history="1">
        <w:r w:rsidRPr="00554614">
          <w:rPr>
            <w:rStyle w:val="Hyperlink"/>
            <w:rFonts w:ascii="Tahoma" w:hAnsi="Tahoma" w:cs="Tahoma"/>
            <w:color w:val="auto"/>
            <w:sz w:val="26"/>
            <w:szCs w:val="26"/>
            <w:u w:val="none"/>
          </w:rPr>
          <w:t>George Wishart</w:t>
        </w:r>
      </w:hyperlink>
      <w:r w:rsidRPr="00554614">
        <w:rPr>
          <w:rFonts w:ascii="Tahoma" w:hAnsi="Tahoma" w:cs="Tahoma"/>
          <w:sz w:val="26"/>
          <w:szCs w:val="26"/>
        </w:rPr>
        <w:t>, he joined the movement to reform the</w:t>
      </w:r>
      <w:r w:rsidR="003E7FB1" w:rsidRPr="00554614">
        <w:rPr>
          <w:rFonts w:ascii="Tahoma" w:hAnsi="Tahoma" w:cs="Tahoma"/>
          <w:sz w:val="26"/>
          <w:szCs w:val="26"/>
        </w:rPr>
        <w:t xml:space="preserve"> Scottish church and was </w:t>
      </w:r>
      <w:r w:rsidRPr="00554614">
        <w:rPr>
          <w:rFonts w:ascii="Tahoma" w:hAnsi="Tahoma" w:cs="Tahoma"/>
          <w:sz w:val="26"/>
          <w:szCs w:val="26"/>
        </w:rPr>
        <w:t xml:space="preserve">caught up in the ecclesiastical and political events that involved the murder of </w:t>
      </w:r>
      <w:hyperlink r:id="rId10" w:tooltip="David Cardinal Beaton" w:history="1">
        <w:r w:rsidRPr="00554614">
          <w:rPr>
            <w:rStyle w:val="Hyperlink"/>
            <w:rFonts w:ascii="Tahoma" w:hAnsi="Tahoma" w:cs="Tahoma"/>
            <w:color w:val="auto"/>
            <w:sz w:val="26"/>
            <w:szCs w:val="26"/>
            <w:u w:val="none"/>
          </w:rPr>
          <w:t>Cardinal Beaton</w:t>
        </w:r>
      </w:hyperlink>
      <w:r w:rsidRPr="00554614">
        <w:rPr>
          <w:rFonts w:ascii="Tahoma" w:hAnsi="Tahoma" w:cs="Tahoma"/>
          <w:sz w:val="26"/>
          <w:szCs w:val="26"/>
        </w:rPr>
        <w:t xml:space="preserve"> in 1546</w:t>
      </w:r>
      <w:r w:rsidR="00554614">
        <w:rPr>
          <w:rFonts w:ascii="Tahoma" w:hAnsi="Tahoma" w:cs="Tahoma"/>
          <w:sz w:val="26"/>
          <w:szCs w:val="26"/>
        </w:rPr>
        <w:t>,</w:t>
      </w:r>
      <w:r w:rsidRPr="00554614">
        <w:rPr>
          <w:rFonts w:ascii="Tahoma" w:hAnsi="Tahoma" w:cs="Tahoma"/>
          <w:sz w:val="26"/>
          <w:szCs w:val="26"/>
        </w:rPr>
        <w:t xml:space="preserve"> </w:t>
      </w:r>
      <w:r w:rsidR="003E7FB1" w:rsidRPr="00554614">
        <w:rPr>
          <w:rFonts w:ascii="Tahoma" w:hAnsi="Tahoma" w:cs="Tahoma"/>
          <w:sz w:val="26"/>
          <w:szCs w:val="26"/>
        </w:rPr>
        <w:t xml:space="preserve">and </w:t>
      </w:r>
      <w:r w:rsidR="00A9012A" w:rsidRPr="00554614">
        <w:rPr>
          <w:rFonts w:ascii="Tahoma" w:hAnsi="Tahoma" w:cs="Tahoma"/>
          <w:sz w:val="26"/>
          <w:szCs w:val="26"/>
        </w:rPr>
        <w:t xml:space="preserve">the </w:t>
      </w:r>
      <w:r w:rsidR="003E7FB1" w:rsidRPr="00554614">
        <w:rPr>
          <w:rFonts w:ascii="Tahoma" w:hAnsi="Tahoma" w:cs="Tahoma"/>
          <w:sz w:val="26"/>
          <w:szCs w:val="26"/>
        </w:rPr>
        <w:t xml:space="preserve">condemning </w:t>
      </w:r>
      <w:r w:rsidR="00A9012A" w:rsidRPr="00554614">
        <w:rPr>
          <w:rFonts w:ascii="Tahoma" w:hAnsi="Tahoma" w:cs="Tahoma"/>
          <w:sz w:val="26"/>
          <w:szCs w:val="26"/>
        </w:rPr>
        <w:t xml:space="preserve">of </w:t>
      </w:r>
      <w:r w:rsidR="003E7FB1" w:rsidRPr="00554614">
        <w:rPr>
          <w:rFonts w:ascii="Tahoma" w:hAnsi="Tahoma" w:cs="Tahoma"/>
          <w:sz w:val="26"/>
          <w:szCs w:val="26"/>
        </w:rPr>
        <w:t xml:space="preserve">the Catholic </w:t>
      </w:r>
      <w:r w:rsidR="00A9012A" w:rsidRPr="00554614">
        <w:rPr>
          <w:rFonts w:ascii="Tahoma" w:hAnsi="Tahoma" w:cs="Tahoma"/>
          <w:sz w:val="26"/>
          <w:szCs w:val="26"/>
        </w:rPr>
        <w:t>“</w:t>
      </w:r>
      <w:r w:rsidR="003E7FB1" w:rsidRPr="00554614">
        <w:rPr>
          <w:rFonts w:ascii="Tahoma" w:hAnsi="Tahoma" w:cs="Tahoma"/>
          <w:sz w:val="26"/>
          <w:szCs w:val="26"/>
        </w:rPr>
        <w:t>Mary Queen of Scots</w:t>
      </w:r>
      <w:r w:rsidR="00A9012A" w:rsidRPr="00554614">
        <w:rPr>
          <w:rFonts w:ascii="Tahoma" w:hAnsi="Tahoma" w:cs="Tahoma"/>
          <w:sz w:val="26"/>
          <w:szCs w:val="26"/>
        </w:rPr>
        <w:t>”</w:t>
      </w:r>
      <w:r w:rsidR="003E7FB1" w:rsidRPr="00554614">
        <w:rPr>
          <w:rFonts w:ascii="Tahoma" w:hAnsi="Tahoma" w:cs="Tahoma"/>
          <w:sz w:val="26"/>
          <w:szCs w:val="26"/>
        </w:rPr>
        <w:t xml:space="preserve"> from his pulpit and in print.  He spent 18 months as a galley slave on French warships and fled to Europe where he met leading Protestant theologian / reformer John Calvin in Geneva.</w:t>
      </w:r>
    </w:p>
    <w:p w14:paraId="62365B77" w14:textId="77777777" w:rsidR="00CC618B" w:rsidRPr="00554614" w:rsidRDefault="003E7FB1" w:rsidP="00364A18">
      <w:pPr>
        <w:pStyle w:val="NormalWeb"/>
        <w:jc w:val="both"/>
        <w:rPr>
          <w:rFonts w:ascii="Tahoma" w:hAnsi="Tahoma" w:cs="Tahoma"/>
          <w:sz w:val="26"/>
          <w:szCs w:val="26"/>
        </w:rPr>
      </w:pPr>
      <w:r w:rsidRPr="00554614">
        <w:rPr>
          <w:rFonts w:ascii="Tahoma" w:hAnsi="Tahoma" w:cs="Tahoma"/>
          <w:sz w:val="26"/>
          <w:szCs w:val="26"/>
        </w:rPr>
        <w:tab/>
        <w:t xml:space="preserve">John Knox returned to Scotland in 1559 and preached against Catholicism. The following year a Parliament in Edinburgh severed contact with the Papacy and forbade the celebration of the Catholic Mass.  </w:t>
      </w:r>
      <w:r w:rsidR="00CC618B" w:rsidRPr="00554614">
        <w:rPr>
          <w:rFonts w:ascii="Tahoma" w:hAnsi="Tahoma" w:cs="Tahoma"/>
          <w:sz w:val="26"/>
          <w:szCs w:val="26"/>
        </w:rPr>
        <w:t xml:space="preserve">The Parliament ordered Knox and five colleagues to write a </w:t>
      </w:r>
      <w:r w:rsidR="00CC618B" w:rsidRPr="00554614">
        <w:rPr>
          <w:rStyle w:val="citation"/>
          <w:rFonts w:ascii="Tahoma" w:hAnsi="Tahoma" w:cs="Tahoma"/>
          <w:i/>
          <w:sz w:val="26"/>
          <w:szCs w:val="26"/>
        </w:rPr>
        <w:t>Confession of Faith</w:t>
      </w:r>
      <w:r w:rsidR="00CC618B" w:rsidRPr="00554614">
        <w:rPr>
          <w:rFonts w:ascii="Tahoma" w:hAnsi="Tahoma" w:cs="Tahoma"/>
          <w:sz w:val="26"/>
          <w:szCs w:val="26"/>
        </w:rPr>
        <w:t xml:space="preserve">, the </w:t>
      </w:r>
      <w:r w:rsidR="00CC618B" w:rsidRPr="00554614">
        <w:rPr>
          <w:rStyle w:val="citation"/>
          <w:rFonts w:ascii="Tahoma" w:hAnsi="Tahoma" w:cs="Tahoma"/>
          <w:i/>
          <w:sz w:val="26"/>
          <w:szCs w:val="26"/>
        </w:rPr>
        <w:t>First Book of Discipline</w:t>
      </w:r>
      <w:r w:rsidR="00CC618B" w:rsidRPr="00554614">
        <w:rPr>
          <w:rFonts w:ascii="Tahoma" w:hAnsi="Tahoma" w:cs="Tahoma"/>
          <w:sz w:val="26"/>
          <w:szCs w:val="26"/>
        </w:rPr>
        <w:t xml:space="preserve">, and </w:t>
      </w:r>
      <w:r w:rsidR="00CC618B" w:rsidRPr="00554614">
        <w:rPr>
          <w:rStyle w:val="citation"/>
          <w:rFonts w:ascii="Tahoma" w:hAnsi="Tahoma" w:cs="Tahoma"/>
          <w:i/>
          <w:sz w:val="26"/>
          <w:szCs w:val="26"/>
        </w:rPr>
        <w:t>The Book of Common Order</w:t>
      </w:r>
      <w:r w:rsidR="00364A18" w:rsidRPr="00554614">
        <w:rPr>
          <w:rStyle w:val="citation"/>
          <w:rFonts w:ascii="Tahoma" w:hAnsi="Tahoma" w:cs="Tahoma"/>
          <w:i/>
          <w:sz w:val="26"/>
          <w:szCs w:val="26"/>
        </w:rPr>
        <w:t xml:space="preserve"> </w:t>
      </w:r>
      <w:r w:rsidR="00CC618B" w:rsidRPr="00554614">
        <w:rPr>
          <w:rFonts w:ascii="Tahoma" w:hAnsi="Tahoma" w:cs="Tahoma"/>
          <w:sz w:val="26"/>
          <w:szCs w:val="26"/>
        </w:rPr>
        <w:t>—</w:t>
      </w:r>
      <w:r w:rsidR="00364A18" w:rsidRPr="00554614">
        <w:rPr>
          <w:rFonts w:ascii="Tahoma" w:hAnsi="Tahoma" w:cs="Tahoma"/>
          <w:sz w:val="26"/>
          <w:szCs w:val="26"/>
        </w:rPr>
        <w:t xml:space="preserve"> </w:t>
      </w:r>
      <w:r w:rsidR="00CC618B" w:rsidRPr="00554614">
        <w:rPr>
          <w:rFonts w:ascii="Tahoma" w:hAnsi="Tahoma" w:cs="Tahoma"/>
          <w:sz w:val="26"/>
          <w:szCs w:val="26"/>
        </w:rPr>
        <w:t>all of which cast the Protestant faith of Scotland in a distinctly Calvinist and Presbyterian mode.</w:t>
      </w:r>
      <w:r w:rsidR="00976037" w:rsidRPr="00554614">
        <w:rPr>
          <w:rFonts w:ascii="Tahoma" w:hAnsi="Tahoma" w:cs="Tahoma"/>
          <w:sz w:val="26"/>
          <w:szCs w:val="26"/>
        </w:rPr>
        <w:t xml:space="preserve">  </w:t>
      </w:r>
      <w:r w:rsidR="00CC618B" w:rsidRPr="00554614">
        <w:rPr>
          <w:rFonts w:ascii="Tahoma" w:hAnsi="Tahoma" w:cs="Tahoma"/>
          <w:sz w:val="26"/>
          <w:szCs w:val="26"/>
        </w:rPr>
        <w:t xml:space="preserve">Knox finished out his years as preacher of the Edinburgh church, helping shape the developing Protestantism in Scotland. During this time, he wrote his </w:t>
      </w:r>
      <w:r w:rsidR="00CC618B" w:rsidRPr="00554614">
        <w:rPr>
          <w:rStyle w:val="citation"/>
          <w:rFonts w:ascii="Tahoma" w:hAnsi="Tahoma" w:cs="Tahoma"/>
          <w:i/>
          <w:sz w:val="26"/>
          <w:szCs w:val="26"/>
        </w:rPr>
        <w:t>History of the Reformation of Religion in Scotland</w:t>
      </w:r>
      <w:r w:rsidR="00CC618B" w:rsidRPr="00554614">
        <w:rPr>
          <w:rFonts w:ascii="Tahoma" w:hAnsi="Tahoma" w:cs="Tahoma"/>
          <w:sz w:val="26"/>
          <w:szCs w:val="26"/>
        </w:rPr>
        <w:t>.</w:t>
      </w:r>
    </w:p>
    <w:p w14:paraId="5A5FD346" w14:textId="701536C7" w:rsidR="00CC618B" w:rsidRPr="00554614" w:rsidRDefault="00545378" w:rsidP="00364A18">
      <w:pPr>
        <w:pStyle w:val="text"/>
        <w:ind w:firstLine="720"/>
        <w:jc w:val="both"/>
        <w:rPr>
          <w:rFonts w:ascii="Tahoma" w:hAnsi="Tahoma" w:cs="Tahoma"/>
          <w:sz w:val="26"/>
          <w:szCs w:val="26"/>
        </w:rPr>
      </w:pPr>
      <w:r w:rsidRPr="00554614">
        <w:rPr>
          <w:rFonts w:ascii="Tahoma" w:hAnsi="Tahoma" w:cs="Tahoma"/>
          <w:sz w:val="26"/>
          <w:szCs w:val="26"/>
        </w:rPr>
        <w:t>Alt</w:t>
      </w:r>
      <w:r w:rsidR="00CC618B" w:rsidRPr="00554614">
        <w:rPr>
          <w:rFonts w:ascii="Tahoma" w:hAnsi="Tahoma" w:cs="Tahoma"/>
          <w:sz w:val="26"/>
          <w:szCs w:val="26"/>
        </w:rPr>
        <w:t xml:space="preserve">hough </w:t>
      </w:r>
      <w:r w:rsidR="00A9012A" w:rsidRPr="00554614">
        <w:rPr>
          <w:rFonts w:ascii="Tahoma" w:hAnsi="Tahoma" w:cs="Tahoma"/>
          <w:sz w:val="26"/>
          <w:szCs w:val="26"/>
        </w:rPr>
        <w:t xml:space="preserve">tried and acquitted for treason and </w:t>
      </w:r>
      <w:r w:rsidRPr="00554614">
        <w:rPr>
          <w:rFonts w:ascii="Tahoma" w:hAnsi="Tahoma" w:cs="Tahoma"/>
          <w:sz w:val="26"/>
          <w:szCs w:val="26"/>
        </w:rPr>
        <w:t xml:space="preserve">successfully alluding assassination, Knox </w:t>
      </w:r>
      <w:r w:rsidR="00CC618B" w:rsidRPr="00554614">
        <w:rPr>
          <w:rFonts w:ascii="Tahoma" w:hAnsi="Tahoma" w:cs="Tahoma"/>
          <w:sz w:val="26"/>
          <w:szCs w:val="26"/>
        </w:rPr>
        <w:t>remains a paradox to many</w:t>
      </w:r>
      <w:r w:rsidRPr="00554614">
        <w:rPr>
          <w:rFonts w:ascii="Tahoma" w:hAnsi="Tahoma" w:cs="Tahoma"/>
          <w:sz w:val="26"/>
          <w:szCs w:val="26"/>
        </w:rPr>
        <w:t>.  Clearly</w:t>
      </w:r>
      <w:r w:rsidR="00554614">
        <w:rPr>
          <w:rFonts w:ascii="Tahoma" w:hAnsi="Tahoma" w:cs="Tahoma"/>
          <w:sz w:val="26"/>
          <w:szCs w:val="26"/>
        </w:rPr>
        <w:t>,</w:t>
      </w:r>
      <w:r w:rsidRPr="00554614">
        <w:rPr>
          <w:rFonts w:ascii="Tahoma" w:hAnsi="Tahoma" w:cs="Tahoma"/>
          <w:sz w:val="26"/>
          <w:szCs w:val="26"/>
        </w:rPr>
        <w:t xml:space="preserve"> he was a </w:t>
      </w:r>
      <w:r w:rsidR="00CC618B" w:rsidRPr="00554614">
        <w:rPr>
          <w:rFonts w:ascii="Tahoma" w:hAnsi="Tahoma" w:cs="Tahoma"/>
          <w:sz w:val="26"/>
          <w:szCs w:val="26"/>
        </w:rPr>
        <w:t>man of great courage</w:t>
      </w:r>
      <w:r w:rsidR="00976037" w:rsidRPr="00554614">
        <w:rPr>
          <w:rFonts w:ascii="Tahoma" w:hAnsi="Tahoma" w:cs="Tahoma"/>
          <w:sz w:val="26"/>
          <w:szCs w:val="26"/>
        </w:rPr>
        <w:t xml:space="preserve">.  He died at age 67.  </w:t>
      </w:r>
      <w:r w:rsidR="00CC618B" w:rsidRPr="00554614">
        <w:rPr>
          <w:rFonts w:ascii="Tahoma" w:hAnsi="Tahoma" w:cs="Tahoma"/>
          <w:sz w:val="26"/>
          <w:szCs w:val="26"/>
        </w:rPr>
        <w:t>Knox</w:t>
      </w:r>
      <w:r w:rsidR="00976037" w:rsidRPr="00554614">
        <w:rPr>
          <w:rFonts w:ascii="Tahoma" w:hAnsi="Tahoma" w:cs="Tahoma"/>
          <w:sz w:val="26"/>
          <w:szCs w:val="26"/>
        </w:rPr>
        <w:t>’</w:t>
      </w:r>
      <w:r w:rsidR="00CC618B" w:rsidRPr="00554614">
        <w:rPr>
          <w:rFonts w:ascii="Tahoma" w:hAnsi="Tahoma" w:cs="Tahoma"/>
          <w:sz w:val="26"/>
          <w:szCs w:val="26"/>
        </w:rPr>
        <w:t>s legacy is large: his spiritual progeny includes some 750,000 Presbyterians in Scotland, 3 million in the United States, and many millions more worldwide.</w:t>
      </w:r>
    </w:p>
    <w:p w14:paraId="2939059D" w14:textId="44BC33C9" w:rsidR="00545378" w:rsidRPr="00554614" w:rsidRDefault="00545378" w:rsidP="00364A18">
      <w:pPr>
        <w:pStyle w:val="text"/>
        <w:ind w:firstLine="720"/>
        <w:jc w:val="both"/>
        <w:rPr>
          <w:rFonts w:ascii="Tahoma" w:hAnsi="Tahoma" w:cs="Tahoma"/>
          <w:sz w:val="26"/>
          <w:szCs w:val="26"/>
        </w:rPr>
      </w:pPr>
      <w:r w:rsidRPr="00554614">
        <w:rPr>
          <w:rFonts w:ascii="Tahoma" w:hAnsi="Tahoma" w:cs="Tahoma"/>
          <w:sz w:val="26"/>
          <w:szCs w:val="26"/>
        </w:rPr>
        <w:t xml:space="preserve">The Presbyterian Church became a force for good not just in Scotland but wherever Scots went.  Famous Presbyterians include John Flynn, visionary of Australia’s Outback; David Livingstone, the explorer; Mary Slessor, the missionary; and John Witherspoon, the educator.  Most </w:t>
      </w:r>
      <w:r w:rsidR="00554614" w:rsidRPr="00554614">
        <w:rPr>
          <w:rFonts w:ascii="Tahoma" w:hAnsi="Tahoma" w:cs="Tahoma"/>
          <w:sz w:val="26"/>
          <w:szCs w:val="26"/>
        </w:rPr>
        <w:t>English-speaking</w:t>
      </w:r>
      <w:r w:rsidRPr="00554614">
        <w:rPr>
          <w:rFonts w:ascii="Tahoma" w:hAnsi="Tahoma" w:cs="Tahoma"/>
          <w:sz w:val="26"/>
          <w:szCs w:val="26"/>
        </w:rPr>
        <w:t xml:space="preserve"> nations have strong Presbyterian traditions as do South Africa and South Korea, which Presbyterians evangelized.  Under Knox’s leadership, Scottish families were transformed. Countless men led worship in their own homes.  The singing of psalms in daily life became widespread.  Because John placed heavy emphasis on universal education, the Bible was read in every Scottish town and glen. </w:t>
      </w:r>
    </w:p>
    <w:p w14:paraId="0B992211" w14:textId="031B7EF7" w:rsidR="00B84499" w:rsidRPr="00554614" w:rsidRDefault="00545378" w:rsidP="0099347A">
      <w:pPr>
        <w:pStyle w:val="text"/>
        <w:ind w:firstLine="720"/>
        <w:jc w:val="both"/>
        <w:rPr>
          <w:rFonts w:ascii="Tahoma" w:hAnsi="Tahoma" w:cs="Tahoma"/>
          <w:sz w:val="26"/>
          <w:szCs w:val="26"/>
        </w:rPr>
      </w:pPr>
      <w:r w:rsidRPr="00554614">
        <w:rPr>
          <w:rFonts w:ascii="Tahoma" w:hAnsi="Tahoma" w:cs="Tahoma"/>
          <w:sz w:val="26"/>
          <w:szCs w:val="26"/>
        </w:rPr>
        <w:t>Knox’s idea that a ruler is responsible to the people ruled influenced English and American politics.  In Britain, the Parliament that overthrew King Charles 1 was largely Presbyterian; and in America, Presbyterians were prominent in the Revolution.  Knox led by example: “I sought neither pre-eminence, glory, nor riches; my honor was that Jesus Christ should reign . . .”</w:t>
      </w:r>
    </w:p>
    <w:sectPr w:rsidR="00B84499" w:rsidRPr="00554614" w:rsidSect="00554614">
      <w:pgSz w:w="12240" w:h="15840"/>
      <w:pgMar w:top="36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84499"/>
    <w:rsid w:val="0011525C"/>
    <w:rsid w:val="002456ED"/>
    <w:rsid w:val="00364A18"/>
    <w:rsid w:val="003E7FB1"/>
    <w:rsid w:val="00471DC7"/>
    <w:rsid w:val="004B547F"/>
    <w:rsid w:val="004F243D"/>
    <w:rsid w:val="00545378"/>
    <w:rsid w:val="00554614"/>
    <w:rsid w:val="005D58F6"/>
    <w:rsid w:val="008653EE"/>
    <w:rsid w:val="00976037"/>
    <w:rsid w:val="0099347A"/>
    <w:rsid w:val="009D56C4"/>
    <w:rsid w:val="00A9012A"/>
    <w:rsid w:val="00B84499"/>
    <w:rsid w:val="00CC618B"/>
    <w:rsid w:val="00D04E5A"/>
    <w:rsid w:val="00E40A97"/>
    <w:rsid w:val="00FA1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4869B"/>
  <w15:docId w15:val="{C1ECF6BC-C221-4E02-A8B7-D2CDB155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C4"/>
  </w:style>
  <w:style w:type="paragraph" w:styleId="Heading4">
    <w:name w:val="heading 4"/>
    <w:basedOn w:val="Normal"/>
    <w:link w:val="Heading4Char"/>
    <w:uiPriority w:val="9"/>
    <w:qFormat/>
    <w:rsid w:val="00CC618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C618B"/>
    <w:rPr>
      <w:rFonts w:ascii="Times New Roman" w:eastAsia="Times New Roman" w:hAnsi="Times New Roman" w:cs="Times New Roman"/>
      <w:b/>
      <w:bCs/>
      <w:sz w:val="24"/>
      <w:szCs w:val="24"/>
    </w:rPr>
  </w:style>
  <w:style w:type="character" w:customStyle="1" w:styleId="featcrumb">
    <w:name w:val="featcrumb"/>
    <w:basedOn w:val="DefaultParagraphFont"/>
    <w:rsid w:val="00CC618B"/>
  </w:style>
  <w:style w:type="character" w:styleId="Hyperlink">
    <w:name w:val="Hyperlink"/>
    <w:basedOn w:val="DefaultParagraphFont"/>
    <w:uiPriority w:val="99"/>
    <w:semiHidden/>
    <w:unhideWhenUsed/>
    <w:rsid w:val="00CC618B"/>
    <w:rPr>
      <w:color w:val="0000FF"/>
      <w:u w:val="single"/>
    </w:rPr>
  </w:style>
  <w:style w:type="paragraph" w:customStyle="1" w:styleId="intro">
    <w:name w:val="intro"/>
    <w:basedOn w:val="Normal"/>
    <w:rsid w:val="00CC61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
    <w:rsid w:val="00CC618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618B"/>
    <w:rPr>
      <w:b/>
      <w:bCs/>
    </w:rPr>
  </w:style>
  <w:style w:type="paragraph" w:styleId="BalloonText">
    <w:name w:val="Balloon Text"/>
    <w:basedOn w:val="Normal"/>
    <w:link w:val="BalloonTextChar"/>
    <w:uiPriority w:val="99"/>
    <w:semiHidden/>
    <w:unhideWhenUsed/>
    <w:rsid w:val="00CC61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18B"/>
    <w:rPr>
      <w:rFonts w:ascii="Tahoma" w:hAnsi="Tahoma" w:cs="Tahoma"/>
      <w:sz w:val="16"/>
      <w:szCs w:val="16"/>
    </w:rPr>
  </w:style>
  <w:style w:type="character" w:customStyle="1" w:styleId="citation">
    <w:name w:val="citation"/>
    <w:basedOn w:val="DefaultParagraphFont"/>
    <w:rsid w:val="00CC618B"/>
  </w:style>
  <w:style w:type="paragraph" w:styleId="NormalWeb">
    <w:name w:val="Normal (Web)"/>
    <w:basedOn w:val="Normal"/>
    <w:uiPriority w:val="99"/>
    <w:unhideWhenUsed/>
    <w:rsid w:val="00CC61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45153">
      <w:bodyDiv w:val="1"/>
      <w:marLeft w:val="0"/>
      <w:marRight w:val="0"/>
      <w:marTop w:val="0"/>
      <w:marBottom w:val="0"/>
      <w:divBdr>
        <w:top w:val="none" w:sz="0" w:space="0" w:color="auto"/>
        <w:left w:val="none" w:sz="0" w:space="0" w:color="auto"/>
        <w:bottom w:val="none" w:sz="0" w:space="0" w:color="auto"/>
        <w:right w:val="none" w:sz="0" w:space="0" w:color="auto"/>
      </w:divBdr>
    </w:div>
    <w:div w:id="333538575">
      <w:bodyDiv w:val="1"/>
      <w:marLeft w:val="0"/>
      <w:marRight w:val="0"/>
      <w:marTop w:val="0"/>
      <w:marBottom w:val="0"/>
      <w:divBdr>
        <w:top w:val="none" w:sz="0" w:space="0" w:color="auto"/>
        <w:left w:val="none" w:sz="0" w:space="0" w:color="auto"/>
        <w:bottom w:val="none" w:sz="0" w:space="0" w:color="auto"/>
        <w:right w:val="none" w:sz="0" w:space="0" w:color="auto"/>
      </w:divBdr>
    </w:div>
    <w:div w:id="362364675">
      <w:bodyDiv w:val="1"/>
      <w:marLeft w:val="0"/>
      <w:marRight w:val="0"/>
      <w:marTop w:val="0"/>
      <w:marBottom w:val="0"/>
      <w:divBdr>
        <w:top w:val="none" w:sz="0" w:space="0" w:color="auto"/>
        <w:left w:val="none" w:sz="0" w:space="0" w:color="auto"/>
        <w:bottom w:val="none" w:sz="0" w:space="0" w:color="auto"/>
        <w:right w:val="none" w:sz="0" w:space="0" w:color="auto"/>
      </w:divBdr>
      <w:divsChild>
        <w:div w:id="1067412398">
          <w:marLeft w:val="0"/>
          <w:marRight w:val="0"/>
          <w:marTop w:val="0"/>
          <w:marBottom w:val="0"/>
          <w:divBdr>
            <w:top w:val="none" w:sz="0" w:space="0" w:color="auto"/>
            <w:left w:val="none" w:sz="0" w:space="0" w:color="auto"/>
            <w:bottom w:val="none" w:sz="0" w:space="0" w:color="auto"/>
            <w:right w:val="none" w:sz="0" w:space="0" w:color="auto"/>
          </w:divBdr>
        </w:div>
        <w:div w:id="552350503">
          <w:marLeft w:val="0"/>
          <w:marRight w:val="0"/>
          <w:marTop w:val="0"/>
          <w:marBottom w:val="0"/>
          <w:divBdr>
            <w:top w:val="none" w:sz="0" w:space="0" w:color="auto"/>
            <w:left w:val="none" w:sz="0" w:space="0" w:color="auto"/>
            <w:bottom w:val="none" w:sz="0" w:space="0" w:color="auto"/>
            <w:right w:val="none" w:sz="0" w:space="0" w:color="auto"/>
          </w:divBdr>
        </w:div>
        <w:div w:id="1804427388">
          <w:marLeft w:val="0"/>
          <w:marRight w:val="0"/>
          <w:marTop w:val="0"/>
          <w:marBottom w:val="0"/>
          <w:divBdr>
            <w:top w:val="none" w:sz="0" w:space="0" w:color="auto"/>
            <w:left w:val="none" w:sz="0" w:space="0" w:color="auto"/>
            <w:bottom w:val="none" w:sz="0" w:space="0" w:color="auto"/>
            <w:right w:val="none" w:sz="0" w:space="0" w:color="auto"/>
          </w:divBdr>
        </w:div>
        <w:div w:id="422189275">
          <w:marLeft w:val="0"/>
          <w:marRight w:val="0"/>
          <w:marTop w:val="0"/>
          <w:marBottom w:val="0"/>
          <w:divBdr>
            <w:top w:val="none" w:sz="0" w:space="0" w:color="auto"/>
            <w:left w:val="none" w:sz="0" w:space="0" w:color="auto"/>
            <w:bottom w:val="none" w:sz="0" w:space="0" w:color="auto"/>
            <w:right w:val="none" w:sz="0" w:space="0" w:color="auto"/>
          </w:divBdr>
        </w:div>
        <w:div w:id="291373487">
          <w:marLeft w:val="0"/>
          <w:marRight w:val="0"/>
          <w:marTop w:val="0"/>
          <w:marBottom w:val="0"/>
          <w:divBdr>
            <w:top w:val="single" w:sz="2" w:space="1" w:color="DEDEDE"/>
            <w:left w:val="single" w:sz="2" w:space="1" w:color="DEDEDE"/>
            <w:bottom w:val="single" w:sz="2" w:space="1" w:color="DEDEDE"/>
            <w:right w:val="single" w:sz="2" w:space="1" w:color="DEDEDE"/>
          </w:divBdr>
        </w:div>
      </w:divsChild>
    </w:div>
    <w:div w:id="575482304">
      <w:bodyDiv w:val="1"/>
      <w:marLeft w:val="0"/>
      <w:marRight w:val="0"/>
      <w:marTop w:val="0"/>
      <w:marBottom w:val="0"/>
      <w:divBdr>
        <w:top w:val="none" w:sz="0" w:space="0" w:color="auto"/>
        <w:left w:val="none" w:sz="0" w:space="0" w:color="auto"/>
        <w:bottom w:val="none" w:sz="0" w:space="0" w:color="auto"/>
        <w:right w:val="none" w:sz="0" w:space="0" w:color="auto"/>
      </w:divBdr>
      <w:divsChild>
        <w:div w:id="636686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k.com/wiki/University_of_St_Andrews?qsrc=3044" TargetMode="External"/><Relationship Id="rId3" Type="http://schemas.openxmlformats.org/officeDocument/2006/relationships/webSettings" Target="webSettings.xml"/><Relationship Id="rId7" Type="http://schemas.openxmlformats.org/officeDocument/2006/relationships/hyperlink" Target="http://www.ask.com/wiki/Presbyterianism?qsrc=304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sk.com/wiki/Protestant_Reformation?qsrc=3044" TargetMode="External"/><Relationship Id="rId11" Type="http://schemas.openxmlformats.org/officeDocument/2006/relationships/fontTable" Target="fontTable.xml"/><Relationship Id="rId5" Type="http://schemas.openxmlformats.org/officeDocument/2006/relationships/hyperlink" Target="http://www.ask.com/wiki/Scottish_people?qsrc=3044" TargetMode="External"/><Relationship Id="rId10" Type="http://schemas.openxmlformats.org/officeDocument/2006/relationships/hyperlink" Target="http://www.ask.com/wiki/David_Cardinal_Beaton?qsrc=3044" TargetMode="External"/><Relationship Id="rId4" Type="http://schemas.openxmlformats.org/officeDocument/2006/relationships/image" Target="media/image1.jpeg"/><Relationship Id="rId9" Type="http://schemas.openxmlformats.org/officeDocument/2006/relationships/hyperlink" Target="http://www.ask.com/wiki/George_Wishart?qsrc=30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8</cp:revision>
  <cp:lastPrinted>2013-08-13T23:02:00Z</cp:lastPrinted>
  <dcterms:created xsi:type="dcterms:W3CDTF">2013-06-27T19:13:00Z</dcterms:created>
  <dcterms:modified xsi:type="dcterms:W3CDTF">2026-06-27T21:59:00Z</dcterms:modified>
</cp:coreProperties>
</file>